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B8" w:rsidRPr="000C0AB8" w:rsidRDefault="000C0AB8" w:rsidP="000C0AB8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</w:p>
    <w:p w:rsidR="000C0AB8" w:rsidRPr="000C0AB8" w:rsidRDefault="000C0AB8" w:rsidP="000C0AB8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</w:p>
    <w:p w:rsidR="000C0AB8" w:rsidRPr="000C0AB8" w:rsidRDefault="000C0AB8" w:rsidP="000C0AB8">
      <w:pPr>
        <w:widowControl w:val="0"/>
        <w:spacing w:after="0" w:line="240" w:lineRule="auto"/>
        <w:ind w:right="-1" w:firstLine="567"/>
        <w:jc w:val="center"/>
        <w:rPr>
          <w:rFonts w:eastAsia="Times New Roman"/>
          <w:b/>
          <w:bCs/>
          <w:spacing w:val="17"/>
          <w:szCs w:val="24"/>
        </w:rPr>
      </w:pP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>(6 созыв)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0C0AB8" w:rsidRPr="000C0AB8" w:rsidRDefault="000C0AB8" w:rsidP="000C0AB8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 xml:space="preserve">24 февраля 2022г.                                                                                                                </w:t>
      </w:r>
      <w:r>
        <w:rPr>
          <w:rFonts w:eastAsia="Times New Roman"/>
          <w:b/>
          <w:szCs w:val="24"/>
          <w:lang w:eastAsia="ru-RU"/>
        </w:rPr>
        <w:t xml:space="preserve">      </w:t>
      </w:r>
      <w:r w:rsidRPr="000C0AB8">
        <w:rPr>
          <w:rFonts w:eastAsia="Times New Roman"/>
          <w:b/>
          <w:szCs w:val="24"/>
          <w:lang w:eastAsia="ru-RU"/>
        </w:rPr>
        <w:t xml:space="preserve"> г. Славск</w:t>
      </w:r>
    </w:p>
    <w:p w:rsidR="000C0AB8" w:rsidRPr="000C0AB8" w:rsidRDefault="000C0AB8" w:rsidP="000C0AB8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 xml:space="preserve">РЕШЕНИЕ </w:t>
      </w:r>
    </w:p>
    <w:p w:rsidR="000C0AB8" w:rsidRPr="000C0AB8" w:rsidRDefault="000C0AB8" w:rsidP="000C0AB8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b/>
          <w:szCs w:val="24"/>
          <w:lang w:eastAsia="ru-RU"/>
        </w:rPr>
        <w:t>№ 22</w:t>
      </w:r>
    </w:p>
    <w:p w:rsidR="000C0AB8" w:rsidRPr="000C0AB8" w:rsidRDefault="000C0AB8" w:rsidP="000C0AB8">
      <w:pPr>
        <w:spacing w:after="0" w:line="0" w:lineRule="atLeast"/>
        <w:ind w:left="1080"/>
        <w:contextualSpacing/>
        <w:rPr>
          <w:rFonts w:eastAsia="Times New Roman"/>
          <w:b/>
          <w:szCs w:val="24"/>
          <w:lang w:eastAsia="ru-RU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Hlk95808342"/>
      <w:r w:rsidRPr="000C0AB8">
        <w:rPr>
          <w:rFonts w:eastAsia="Times New Roman"/>
          <w:b/>
          <w:bCs/>
          <w:szCs w:val="24"/>
          <w:lang w:eastAsia="ru-RU"/>
        </w:rPr>
        <w:t>О стоимости услуг, предоставляемых согласно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Times New Roman"/>
          <w:b/>
          <w:bCs/>
          <w:szCs w:val="24"/>
          <w:lang w:eastAsia="ru-RU"/>
        </w:rPr>
      </w:pPr>
      <w:r w:rsidRPr="000C0AB8">
        <w:rPr>
          <w:rFonts w:eastAsia="Times New Roman"/>
          <w:b/>
          <w:bCs/>
          <w:szCs w:val="24"/>
          <w:lang w:eastAsia="ru-RU"/>
        </w:rPr>
        <w:t>гарантированному перечню услуг по погребению, стоимости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Times New Roman"/>
          <w:b/>
          <w:bCs/>
          <w:szCs w:val="24"/>
          <w:lang w:eastAsia="ru-RU"/>
        </w:rPr>
      </w:pPr>
      <w:r w:rsidRPr="000C0AB8">
        <w:rPr>
          <w:rFonts w:eastAsia="Times New Roman"/>
          <w:b/>
          <w:bCs/>
          <w:szCs w:val="24"/>
          <w:lang w:eastAsia="ru-RU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в муниципальном образовании «Славский муниципальный округ Калининградской области»</w:t>
      </w:r>
    </w:p>
    <w:bookmarkEnd w:id="0"/>
    <w:p w:rsidR="000C0AB8" w:rsidRPr="000C0AB8" w:rsidRDefault="000C0AB8" w:rsidP="000C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</w:rPr>
      </w:pPr>
    </w:p>
    <w:p w:rsidR="000C0AB8" w:rsidRPr="000C0AB8" w:rsidRDefault="000C0AB8" w:rsidP="000C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Calibri"/>
          <w:szCs w:val="24"/>
        </w:rPr>
        <w:t xml:space="preserve">В соответствии с Федеральными законами от 6 октября 2003 года </w:t>
      </w:r>
      <w:r w:rsidRPr="000C0AB8">
        <w:rPr>
          <w:rFonts w:eastAsia="Calibri"/>
          <w:szCs w:val="24"/>
        </w:rPr>
        <w:br/>
        <w:t xml:space="preserve">№ 131-ФЗ «Об общих принципах организации местного самоуправления в Российской Федерации», от 12 января 1996 года №8-ФЗ «О погребении и похоронном деле», </w:t>
      </w:r>
      <w:r w:rsidRPr="000C0AB8">
        <w:rPr>
          <w:rFonts w:eastAsia="Times New Roman"/>
          <w:szCs w:val="24"/>
          <w:lang w:eastAsia="ru-RU"/>
        </w:rPr>
        <w:t xml:space="preserve">руководствуясь пунктом 27 части 1 статьи 6 </w:t>
      </w:r>
      <w:r w:rsidRPr="000C0AB8">
        <w:rPr>
          <w:rFonts w:eastAsia="Calibri"/>
          <w:bCs/>
          <w:szCs w:val="24"/>
        </w:rPr>
        <w:t xml:space="preserve">Устава муниципального образования «Славский муниципальный округ Калининградской области», </w:t>
      </w:r>
      <w:r w:rsidRPr="000C0AB8">
        <w:rPr>
          <w:rFonts w:eastAsia="Times New Roman"/>
          <w:szCs w:val="24"/>
          <w:lang w:eastAsia="ru-RU"/>
        </w:rPr>
        <w:t>окружной Совет депутатов муниципального образования «Славский муниципальный округ Калининградской области»:</w:t>
      </w:r>
    </w:p>
    <w:p w:rsidR="000C0AB8" w:rsidRPr="000C0AB8" w:rsidRDefault="000C0AB8" w:rsidP="000C0AB8">
      <w:pPr>
        <w:widowControl w:val="0"/>
        <w:spacing w:after="0" w:line="240" w:lineRule="auto"/>
        <w:ind w:left="20"/>
        <w:jc w:val="center"/>
        <w:rPr>
          <w:rFonts w:eastAsia="Times New Roman"/>
          <w:b/>
          <w:bCs/>
          <w:spacing w:val="1"/>
          <w:szCs w:val="24"/>
          <w:lang w:eastAsia="ru-RU"/>
        </w:rPr>
      </w:pPr>
    </w:p>
    <w:p w:rsidR="000C0AB8" w:rsidRPr="000C0AB8" w:rsidRDefault="000C0AB8" w:rsidP="000C0AB8">
      <w:pPr>
        <w:widowControl w:val="0"/>
        <w:spacing w:after="0" w:line="240" w:lineRule="auto"/>
        <w:ind w:left="20"/>
        <w:jc w:val="center"/>
        <w:rPr>
          <w:rFonts w:eastAsia="Times New Roman"/>
          <w:b/>
          <w:bCs/>
          <w:spacing w:val="1"/>
          <w:szCs w:val="24"/>
          <w:lang w:eastAsia="ru-RU"/>
        </w:rPr>
      </w:pPr>
      <w:r w:rsidRPr="000C0AB8">
        <w:rPr>
          <w:rFonts w:eastAsia="Times New Roman"/>
          <w:b/>
          <w:bCs/>
          <w:spacing w:val="1"/>
          <w:szCs w:val="24"/>
          <w:lang w:eastAsia="ru-RU"/>
        </w:rPr>
        <w:t>РЕШИЛ:</w:t>
      </w:r>
    </w:p>
    <w:p w:rsidR="000C0AB8" w:rsidRPr="000C0AB8" w:rsidRDefault="000C0AB8" w:rsidP="000C0AB8">
      <w:pPr>
        <w:widowControl w:val="0"/>
        <w:spacing w:after="0" w:line="240" w:lineRule="auto"/>
        <w:ind w:left="20"/>
        <w:jc w:val="center"/>
        <w:rPr>
          <w:rFonts w:eastAsia="Times New Roman"/>
          <w:b/>
          <w:bCs/>
          <w:spacing w:val="1"/>
          <w:szCs w:val="24"/>
          <w:lang w:eastAsia="ru-RU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i/>
          <w:szCs w:val="24"/>
        </w:rPr>
      </w:pPr>
      <w:r w:rsidRPr="000C0AB8">
        <w:rPr>
          <w:rFonts w:eastAsia="Calibri"/>
          <w:bCs/>
          <w:szCs w:val="24"/>
        </w:rPr>
        <w:t>1.Утвердить с</w:t>
      </w:r>
      <w:r w:rsidRPr="000C0AB8">
        <w:rPr>
          <w:rFonts w:eastAsia="Calibri"/>
          <w:szCs w:val="24"/>
        </w:rPr>
        <w:t>тоимость услуг, предоставляемых согласно гарантированному перечню услуг по погребению в муниципальном образовании «</w:t>
      </w:r>
      <w:r w:rsidRPr="000C0AB8">
        <w:rPr>
          <w:rFonts w:eastAsia="Times New Roman"/>
          <w:szCs w:val="24"/>
          <w:lang w:eastAsia="ru-RU"/>
        </w:rPr>
        <w:t>Славский муниципальный округ Калининградской области</w:t>
      </w:r>
      <w:r w:rsidRPr="000C0AB8">
        <w:rPr>
          <w:rFonts w:eastAsia="Calibri"/>
          <w:szCs w:val="24"/>
        </w:rPr>
        <w:t>» (приложение 1).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Calibri"/>
          <w:b/>
          <w:szCs w:val="24"/>
        </w:rPr>
      </w:pPr>
      <w:r w:rsidRPr="000C0AB8">
        <w:rPr>
          <w:rFonts w:eastAsia="Calibri"/>
          <w:szCs w:val="24"/>
        </w:rPr>
        <w:t>2. 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муниципальном образовании «</w:t>
      </w:r>
      <w:r w:rsidRPr="000C0AB8">
        <w:rPr>
          <w:rFonts w:eastAsia="Times New Roman"/>
          <w:szCs w:val="24"/>
          <w:lang w:eastAsia="ru-RU"/>
        </w:rPr>
        <w:t>Славский муниципальный округ Калининградской области</w:t>
      </w:r>
      <w:r w:rsidRPr="000C0AB8">
        <w:rPr>
          <w:rFonts w:eastAsia="Calibri"/>
          <w:szCs w:val="24"/>
        </w:rPr>
        <w:t>» (приложение 2).</w:t>
      </w:r>
    </w:p>
    <w:p w:rsidR="000C0AB8" w:rsidRPr="000C0AB8" w:rsidRDefault="000C0AB8" w:rsidP="000C0AB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3. Решение окружного Совета депутатов «Славский городской округ» от 20.12.2019 года № 73 «Об установлении стоимости услуг по погребению умерших (погибших)</w:t>
      </w:r>
      <w:r w:rsidRPr="000C0AB8">
        <w:rPr>
          <w:rFonts w:eastAsia="Times New Roman"/>
          <w:b/>
          <w:bCs/>
          <w:szCs w:val="24"/>
          <w:lang w:eastAsia="ru-RU"/>
        </w:rPr>
        <w:t xml:space="preserve"> </w:t>
      </w:r>
      <w:r w:rsidRPr="000C0AB8">
        <w:rPr>
          <w:rFonts w:eastAsia="Times New Roman"/>
          <w:bCs/>
          <w:szCs w:val="24"/>
          <w:lang w:eastAsia="ru-RU"/>
        </w:rPr>
        <w:t>не имеющих супруга, близких родственников, иных родственников либо законного представителя умершего, и требованиях к их качеству в муниципальном образовании «Славский городской округ»»</w:t>
      </w:r>
      <w:r w:rsidRPr="000C0AB8">
        <w:rPr>
          <w:rFonts w:eastAsia="Times New Roman"/>
          <w:szCs w:val="24"/>
          <w:lang w:eastAsia="ru-RU"/>
        </w:rPr>
        <w:t xml:space="preserve"> (в редакции Решения ОСД от 27.02.2020г. № 16; от 08.02.2021 № 12) признать утратившим силу. </w:t>
      </w:r>
    </w:p>
    <w:p w:rsidR="000C0AB8" w:rsidRPr="000C0AB8" w:rsidRDefault="000C0AB8" w:rsidP="000C0AB8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4.</w:t>
      </w:r>
      <w:r w:rsidRPr="000C0AB8">
        <w:rPr>
          <w:rFonts w:eastAsia="Calibri"/>
          <w:szCs w:val="24"/>
          <w:lang w:eastAsia="ru-RU"/>
        </w:rPr>
        <w:t>Решение вступает в силу со дня официального опубликования в газете «Славские НОВОСТИ» и распространяются на правоотношения, возникшие с 1 февраля 2022 года.</w:t>
      </w:r>
    </w:p>
    <w:p w:rsidR="000C0AB8" w:rsidRPr="000C0AB8" w:rsidRDefault="000C0AB8" w:rsidP="000C0AB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Глава МО «Славский муниципальный округ </w:t>
      </w:r>
    </w:p>
    <w:p w:rsidR="000C0AB8" w:rsidRPr="000C0AB8" w:rsidRDefault="000C0AB8" w:rsidP="000C0AB8">
      <w:pPr>
        <w:spacing w:after="0" w:line="240" w:lineRule="auto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Калининградской </w:t>
      </w:r>
      <w:proofErr w:type="gramStart"/>
      <w:r w:rsidRPr="000C0AB8">
        <w:rPr>
          <w:rFonts w:eastAsia="Times New Roman"/>
          <w:szCs w:val="24"/>
          <w:lang w:eastAsia="ru-RU"/>
        </w:rPr>
        <w:t xml:space="preserve">области»   </w:t>
      </w:r>
      <w:proofErr w:type="gramEnd"/>
      <w:r w:rsidRPr="000C0AB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Е.А. Матвеева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4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4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4"/>
        </w:rPr>
      </w:pPr>
    </w:p>
    <w:p w:rsidR="000C0AB8" w:rsidRPr="000C0AB8" w:rsidRDefault="000C0AB8" w:rsidP="000C0AB8">
      <w:pPr>
        <w:suppressAutoHyphens/>
        <w:spacing w:after="0" w:line="240" w:lineRule="auto"/>
        <w:ind w:hanging="360"/>
        <w:rPr>
          <w:rFonts w:eastAsia="Times New Roman"/>
          <w:bCs/>
          <w:szCs w:val="24"/>
          <w:lang w:eastAsia="ar-SA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Приложение № 1 к Решению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окружного Совета депутатов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bookmarkStart w:id="1" w:name="_GoBack"/>
      <w:bookmarkEnd w:id="1"/>
      <w:r w:rsidRPr="000C0AB8">
        <w:rPr>
          <w:rFonts w:eastAsia="Times New Roman"/>
          <w:szCs w:val="24"/>
          <w:lang w:eastAsia="ru-RU"/>
        </w:rPr>
        <w:t xml:space="preserve">МО «Славский муниципальный округ 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Калининградской области»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от 24.02.2022 года № 22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Calibri"/>
          <w:b/>
          <w:szCs w:val="24"/>
        </w:rPr>
      </w:pPr>
      <w:bookmarkStart w:id="2" w:name="Par42"/>
      <w:bookmarkEnd w:id="2"/>
      <w:r w:rsidRPr="000C0AB8">
        <w:rPr>
          <w:rFonts w:eastAsia="Calibri"/>
          <w:b/>
          <w:szCs w:val="24"/>
        </w:rPr>
        <w:t xml:space="preserve">Стоимость услуг, предоставляемых согласно гарантированному перечню услуг по погребению в муниципальном образовании 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Times New Roman"/>
          <w:szCs w:val="24"/>
          <w:lang w:eastAsia="ru-RU"/>
        </w:rPr>
      </w:pPr>
      <w:r w:rsidRPr="000C0AB8">
        <w:rPr>
          <w:rFonts w:eastAsia="Calibri"/>
          <w:b/>
          <w:szCs w:val="24"/>
        </w:rPr>
        <w:t>«</w:t>
      </w:r>
      <w:r w:rsidRPr="000C0AB8">
        <w:rPr>
          <w:rFonts w:eastAsia="Times New Roman"/>
          <w:b/>
          <w:szCs w:val="24"/>
          <w:lang w:eastAsia="ru-RU"/>
        </w:rPr>
        <w:t>Славский муниципальный округ Калининградской области</w:t>
      </w:r>
      <w:r w:rsidRPr="000C0AB8">
        <w:rPr>
          <w:rFonts w:eastAsia="Times New Roman"/>
          <w:szCs w:val="24"/>
          <w:lang w:eastAsia="ru-RU"/>
        </w:rPr>
        <w:t>»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1.В соответствии со статьёй 9 Федерального закона от 12 января 1996 года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следующий перечень услуг: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1)оформление документов, необходимых для погребения;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2)предоставление и доставка гроба и других предметов, необходимых для погребения;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3)перевозка тела (останков) умершего на кладбище;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4) погребение.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2.Формирование стоимости указанных услуг осуществляется администрацией муниципального образования «Славский муниципальный округ Калининградской области» и определяется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со Службой по государственному регулированию цен и тарифов Калининградской области.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3.Стоимость услуг: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0"/>
        <w:gridCol w:w="1496"/>
      </w:tblGrid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7650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Услуги</w:t>
            </w:r>
          </w:p>
        </w:tc>
        <w:tc>
          <w:tcPr>
            <w:tcW w:w="1496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 xml:space="preserve">Стоимость, руб. 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7650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241,97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7650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2002,79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7650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2571,67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7650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Погребение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2148,25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7650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1496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6964,68</w:t>
            </w:r>
          </w:p>
        </w:tc>
      </w:tr>
    </w:tbl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4.Оплата стоимости услуг, предоставляемых сверх гарантированного перечня услуг по погребению, производится за </w:t>
      </w:r>
      <w:r w:rsidR="002F50FD" w:rsidRPr="000C0AB8">
        <w:rPr>
          <w:rFonts w:eastAsia="Times New Roman"/>
          <w:szCs w:val="24"/>
          <w:lang w:eastAsia="ru-RU"/>
        </w:rPr>
        <w:t>счёт</w:t>
      </w:r>
      <w:r w:rsidRPr="000C0AB8">
        <w:rPr>
          <w:rFonts w:eastAsia="Times New Roman"/>
          <w:szCs w:val="24"/>
          <w:lang w:eastAsia="ru-RU"/>
        </w:rPr>
        <w:t xml:space="preserve">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lastRenderedPageBreak/>
        <w:t>Приложение № 2 к Решению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окружного Совета депутатов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МО «Славский муниципальный округ 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Калининградской области»</w:t>
      </w:r>
    </w:p>
    <w:p w:rsidR="000C0AB8" w:rsidRPr="000C0AB8" w:rsidRDefault="000C0AB8" w:rsidP="000C0AB8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24.02.2022 года № 22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4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Calibri"/>
          <w:b/>
          <w:szCs w:val="24"/>
        </w:rPr>
      </w:pPr>
      <w:r w:rsidRPr="000C0AB8">
        <w:rPr>
          <w:rFonts w:eastAsia="Calibri"/>
          <w:b/>
          <w:szCs w:val="24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муниципальном образовании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="Calibri"/>
          <w:b/>
          <w:szCs w:val="24"/>
        </w:rPr>
      </w:pPr>
      <w:r w:rsidRPr="000C0AB8">
        <w:rPr>
          <w:rFonts w:eastAsia="Calibri"/>
          <w:b/>
          <w:szCs w:val="24"/>
        </w:rPr>
        <w:t>«</w:t>
      </w:r>
      <w:r w:rsidRPr="000C0AB8">
        <w:rPr>
          <w:rFonts w:eastAsia="Times New Roman"/>
          <w:b/>
          <w:szCs w:val="24"/>
          <w:lang w:eastAsia="ru-RU"/>
        </w:rPr>
        <w:t>Славский муниципальный округ Калининградской области</w:t>
      </w:r>
      <w:r w:rsidRPr="000C0AB8">
        <w:rPr>
          <w:rFonts w:eastAsia="Calibri"/>
          <w:b/>
          <w:szCs w:val="24"/>
        </w:rPr>
        <w:t>»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4"/>
        </w:rPr>
      </w:pP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В соответствии со </w:t>
      </w:r>
      <w:r w:rsidR="002F50FD" w:rsidRPr="000C0AB8">
        <w:rPr>
          <w:rFonts w:eastAsia="Times New Roman"/>
          <w:szCs w:val="24"/>
          <w:lang w:eastAsia="ru-RU"/>
        </w:rPr>
        <w:t>статьёй</w:t>
      </w:r>
      <w:r w:rsidRPr="000C0AB8">
        <w:rPr>
          <w:rFonts w:eastAsia="Times New Roman"/>
          <w:szCs w:val="24"/>
          <w:lang w:eastAsia="ru-RU"/>
        </w:rPr>
        <w:t xml:space="preserve"> 12 Федерального закона от </w:t>
      </w:r>
      <w:r w:rsidRPr="000C0AB8">
        <w:rPr>
          <w:rFonts w:eastAsia="Times New Roman"/>
          <w:szCs w:val="24"/>
          <w:lang w:eastAsia="ru-RU"/>
        </w:rPr>
        <w:br/>
        <w:t xml:space="preserve">12 января 1996 года 8-ФЗ «О погребении и похоронном деле» услуги при погребении умерших (погибших)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</w:t>
      </w:r>
      <w:proofErr w:type="spellStart"/>
      <w:r w:rsidRPr="000C0AB8">
        <w:rPr>
          <w:rFonts w:eastAsia="Times New Roman"/>
          <w:szCs w:val="24"/>
          <w:lang w:eastAsia="ru-RU"/>
        </w:rPr>
        <w:t>трех</w:t>
      </w:r>
      <w:proofErr w:type="spellEnd"/>
      <w:r w:rsidRPr="000C0AB8">
        <w:rPr>
          <w:rFonts w:eastAsia="Times New Roman"/>
          <w:szCs w:val="24"/>
          <w:lang w:eastAsia="ru-RU"/>
        </w:rPr>
        <w:t xml:space="preserve"> суток с момента установления причины смерти, если иное не предусмотрено законодательством РФ, включают в себя: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1) оформление документов, необходимых для погребения;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2) облачение тела;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3) предоставление гроба;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4) перевозку тела (останков) умершего на кладбище; 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5) погребение.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2.Формирование стоимости указанных услуг осуществляется администрацией муниципального образования «Славский муниципальный округ Калининградской области», определяется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со Службой по государственному регулированию цен и тарифов Калининградской области и возмещается в порядке, предусмотренном пунктом 3 статьи 9 от 12 января 1996 года 8-ФЗ Федерального закона </w:t>
      </w:r>
      <w:r w:rsidRPr="000C0AB8">
        <w:rPr>
          <w:rFonts w:eastAsia="Times New Roman"/>
          <w:iCs/>
          <w:szCs w:val="24"/>
          <w:lang w:eastAsia="ru-RU"/>
        </w:rPr>
        <w:t>«О погребении и похоронном деле».</w:t>
      </w:r>
    </w:p>
    <w:p w:rsidR="000C0AB8" w:rsidRPr="000C0AB8" w:rsidRDefault="000C0AB8" w:rsidP="000C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 xml:space="preserve">3. Услуги по погребению, указанные в </w:t>
      </w:r>
      <w:hyperlink r:id="rId4" w:history="1">
        <w:r w:rsidRPr="000C0AB8">
          <w:rPr>
            <w:rFonts w:eastAsia="Times New Roman"/>
            <w:szCs w:val="24"/>
            <w:lang w:eastAsia="ru-RU"/>
          </w:rPr>
          <w:t>пункте 1</w:t>
        </w:r>
      </w:hyperlink>
      <w:r w:rsidRPr="000C0AB8">
        <w:rPr>
          <w:rFonts w:eastAsia="Times New Roman"/>
          <w:szCs w:val="24"/>
          <w:lang w:eastAsia="ru-RU"/>
        </w:rPr>
        <w:t xml:space="preserve">, оказываются МУП «Ритуал»  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AB8">
        <w:rPr>
          <w:rFonts w:eastAsia="Times New Roman"/>
          <w:szCs w:val="24"/>
          <w:lang w:eastAsia="ru-RU"/>
        </w:rPr>
        <w:t>Стоимость услуг:</w:t>
      </w:r>
    </w:p>
    <w:p w:rsidR="000C0AB8" w:rsidRPr="000C0AB8" w:rsidRDefault="000C0AB8" w:rsidP="000C0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08"/>
        <w:gridCol w:w="1496"/>
      </w:tblGrid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Услуги</w:t>
            </w:r>
          </w:p>
        </w:tc>
        <w:tc>
          <w:tcPr>
            <w:tcW w:w="1496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Стоимость, руб.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241,97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Облачение тела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434,93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1567,86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96" w:type="dxa"/>
            <w:vAlign w:val="center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2571,67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Погребение</w:t>
            </w:r>
          </w:p>
        </w:tc>
        <w:tc>
          <w:tcPr>
            <w:tcW w:w="1496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2148,25</w:t>
            </w:r>
          </w:p>
        </w:tc>
      </w:tr>
      <w:tr w:rsidR="000C0AB8" w:rsidRPr="000C0AB8" w:rsidTr="00765D74">
        <w:tc>
          <w:tcPr>
            <w:tcW w:w="567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7008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1496" w:type="dxa"/>
          </w:tcPr>
          <w:p w:rsidR="000C0AB8" w:rsidRPr="000C0AB8" w:rsidRDefault="000C0AB8" w:rsidP="000C0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0AB8">
              <w:rPr>
                <w:rFonts w:eastAsia="Times New Roman"/>
                <w:szCs w:val="24"/>
                <w:lang w:eastAsia="ru-RU"/>
              </w:rPr>
              <w:t>6964,68</w:t>
            </w:r>
          </w:p>
        </w:tc>
      </w:tr>
    </w:tbl>
    <w:p w:rsidR="000C0AB8" w:rsidRPr="000C0AB8" w:rsidRDefault="000C0AB8" w:rsidP="000C0AB8">
      <w:pPr>
        <w:widowControl w:val="0"/>
        <w:spacing w:after="0" w:line="240" w:lineRule="auto"/>
        <w:ind w:left="567" w:hanging="567"/>
        <w:jc w:val="center"/>
        <w:rPr>
          <w:rFonts w:eastAsia="Tahoma"/>
          <w:color w:val="000000"/>
          <w:szCs w:val="24"/>
          <w:lang w:eastAsia="ru-RU" w:bidi="ru-RU"/>
        </w:rPr>
      </w:pPr>
    </w:p>
    <w:p w:rsidR="000C0AB8" w:rsidRPr="000C0AB8" w:rsidRDefault="000C0AB8" w:rsidP="000C0AB8">
      <w:pPr>
        <w:widowControl w:val="0"/>
        <w:spacing w:after="0" w:line="240" w:lineRule="auto"/>
        <w:ind w:left="567" w:hanging="567"/>
        <w:jc w:val="center"/>
        <w:rPr>
          <w:rFonts w:eastAsia="Tahoma"/>
          <w:color w:val="000000"/>
          <w:szCs w:val="24"/>
          <w:lang w:eastAsia="ru-RU" w:bidi="ru-RU"/>
        </w:rPr>
      </w:pPr>
    </w:p>
    <w:p w:rsidR="0060702E" w:rsidRDefault="0060702E"/>
    <w:sectPr w:rsidR="0060702E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B8"/>
    <w:rsid w:val="000C0AB8"/>
    <w:rsid w:val="002A0187"/>
    <w:rsid w:val="002F50FD"/>
    <w:rsid w:val="003235C5"/>
    <w:rsid w:val="0060702E"/>
    <w:rsid w:val="0069503B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C357-C069-4CDD-91AA-11982F8F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1209D4B0808B41A808828CFA4946BDD33186957B8B267FE7A7B40ABBF12099AA76B8DD6655CE0EW6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2022-02-28T06:50:00Z</cp:lastPrinted>
  <dcterms:created xsi:type="dcterms:W3CDTF">2022-02-24T12:35:00Z</dcterms:created>
  <dcterms:modified xsi:type="dcterms:W3CDTF">2022-02-28T06:53:00Z</dcterms:modified>
</cp:coreProperties>
</file>